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8328">
      <w:pPr>
        <w:widowControl/>
        <w:kinsoku/>
        <w:autoSpaceDE/>
        <w:autoSpaceDN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24"/>
          <w:szCs w:val="24"/>
          <w:lang w:val="en-US" w:eastAsia="zh-CN"/>
        </w:rPr>
        <w:t>附件3.</w:t>
      </w:r>
    </w:p>
    <w:p w14:paraId="16AA3C70">
      <w:pPr>
        <w:widowControl w:val="0"/>
        <w:kinsoku/>
        <w:autoSpaceDE/>
        <w:autoSpaceDN/>
        <w:adjustRightInd/>
        <w:snapToGrid/>
        <w:spacing w:line="560" w:lineRule="atLeast"/>
        <w:jc w:val="center"/>
        <w:textAlignment w:val="auto"/>
        <w:rPr>
          <w:rFonts w:hint="eastAsia" w:ascii="方正小标宋_GBK" w:hAnsi="黑体" w:eastAsia="方正小标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 w:cs="Times New Roman"/>
          <w:snapToGrid/>
          <w:kern w:val="2"/>
          <w:sz w:val="32"/>
          <w:szCs w:val="32"/>
          <w:lang w:val="en-US" w:eastAsia="zh-CN"/>
        </w:rPr>
        <w:t>北京工业职业技术学院</w:t>
      </w:r>
    </w:p>
    <w:p w14:paraId="1D10223A">
      <w:pPr>
        <w:widowControl w:val="0"/>
        <w:kinsoku/>
        <w:autoSpaceDE/>
        <w:autoSpaceDN/>
        <w:adjustRightInd/>
        <w:snapToGrid/>
        <w:spacing w:line="560" w:lineRule="atLeast"/>
        <w:jc w:val="center"/>
        <w:textAlignment w:val="auto"/>
        <w:rPr>
          <w:rFonts w:hint="eastAsia" w:ascii="方正小标宋_GBK" w:hAnsi="黑体" w:eastAsia="方正小标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 w:cs="Times New Roman"/>
          <w:snapToGrid/>
          <w:kern w:val="2"/>
          <w:sz w:val="32"/>
          <w:szCs w:val="32"/>
          <w:lang w:val="en-US" w:eastAsia="zh-CN"/>
        </w:rPr>
        <w:t>2024—2025学年中职政府奖学金名额分配方案</w:t>
      </w:r>
    </w:p>
    <w:p w14:paraId="4EBE73DA">
      <w:pPr>
        <w:widowControl/>
        <w:kinsoku/>
        <w:autoSpaceDE/>
        <w:autoSpaceDN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为贯彻落实国家教育资助政策，助力学生全面发展成长，根据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北京市教育资产与财务管理事务中心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《关于做好2024年中等职业教育国家奖学金和北京市政府奖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学金评审发放与材料填报工作的通知》要求，结合学校工作实际，现对我校2024年度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中职政府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奖助学金名额进行分配。具体分配方案如下：</w:t>
      </w:r>
    </w:p>
    <w:p w14:paraId="29A9D76C">
      <w:pPr>
        <w:widowControl/>
        <w:kinsoku/>
        <w:autoSpaceDE/>
        <w:autoSpaceDN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default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  <w:t>一、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  <w:t>学校划拨名额</w:t>
      </w:r>
    </w:p>
    <w:p w14:paraId="13D7EB7E"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根据教育部全国学生资助管理中心函件，分配我校2025年中职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北京市政府</w:t>
      </w:r>
      <w:r>
        <w:rPr>
          <w:rFonts w:hint="eastAsia" w:ascii="仿宋_GB2312" w:hAnsi="Times New Roman" w:eastAsia="仿宋_GB2312" w:cs="Times New Roman"/>
          <w:sz w:val="28"/>
          <w:szCs w:val="28"/>
        </w:rPr>
        <w:t>奖学金名额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81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人。</w:t>
      </w:r>
    </w:p>
    <w:p w14:paraId="58CAE95C">
      <w:pPr>
        <w:widowControl/>
        <w:kinsoku/>
        <w:autoSpaceDE/>
        <w:autoSpaceDN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default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  <w:t>二、分配原则</w:t>
      </w:r>
    </w:p>
    <w:p w14:paraId="232F5F50">
      <w:pPr>
        <w:widowControl/>
        <w:kinsoku/>
        <w:autoSpaceDE/>
        <w:autoSpaceDN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北京市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中等职业学校政府奖学金名额按照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各二级学院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学生比例进行分配，即按照各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二级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学院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二年级及以上中职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学生数占学校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二年级及以上中职学生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总数的比例分配名额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，计算过程如遇小数则根据四舍五入原则，结合实际情况进行确认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。</w:t>
      </w:r>
    </w:p>
    <w:p w14:paraId="0F47C75A">
      <w:pPr>
        <w:widowControl/>
        <w:kinsoku/>
        <w:autoSpaceDE/>
        <w:autoSpaceDN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28"/>
          <w:szCs w:val="28"/>
          <w:lang w:val="en-US" w:eastAsia="zh-CN"/>
        </w:rPr>
        <w:t>三、名额分配</w:t>
      </w:r>
    </w:p>
    <w:p w14:paraId="5855ADAF">
      <w:pPr>
        <w:widowControl/>
        <w:kinsoku/>
        <w:autoSpaceDE/>
        <w:autoSpaceDN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将学校划拨的名额，根据202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-202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5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学年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各二级学院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学生人数按比例（原则上四舍五入计算）分配至各</w:t>
      </w:r>
      <w:r>
        <w:rPr>
          <w:rFonts w:hint="eastAsia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二级学院</w:t>
      </w:r>
      <w:r>
        <w:rPr>
          <w:rFonts w:hint="default" w:ascii="仿宋_GB2312" w:hAnsi="Times New Roman" w:eastAsia="仿宋_GB2312" w:cs="Times New Roman"/>
          <w:snapToGrid/>
          <w:kern w:val="2"/>
          <w:sz w:val="28"/>
          <w:szCs w:val="28"/>
          <w:lang w:val="en-US" w:eastAsia="zh-CN"/>
        </w:rPr>
        <w:t>。具体分配情况如下：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2211"/>
        <w:gridCol w:w="2586"/>
      </w:tblGrid>
      <w:tr w14:paraId="1F70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20C2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12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0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参评学生数</w:t>
            </w:r>
          </w:p>
        </w:tc>
        <w:tc>
          <w:tcPr>
            <w:tcW w:w="151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D1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学院分配名额</w:t>
            </w:r>
          </w:p>
        </w:tc>
      </w:tr>
      <w:tr w14:paraId="703B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F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基础教育学院</w:t>
            </w:r>
          </w:p>
        </w:tc>
        <w:tc>
          <w:tcPr>
            <w:tcW w:w="12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F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539</w:t>
            </w:r>
          </w:p>
        </w:tc>
        <w:tc>
          <w:tcPr>
            <w:tcW w:w="151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0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47 </w:t>
            </w:r>
          </w:p>
        </w:tc>
      </w:tr>
      <w:tr w14:paraId="24CB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EC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文法与管理学院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1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158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7E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14 </w:t>
            </w:r>
          </w:p>
        </w:tc>
      </w:tr>
      <w:tr w14:paraId="692B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7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5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8D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6 </w:t>
            </w:r>
          </w:p>
        </w:tc>
      </w:tr>
      <w:tr w14:paraId="73E9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4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城市安全学院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5 </w:t>
            </w:r>
          </w:p>
        </w:tc>
      </w:tr>
      <w:tr w14:paraId="0855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建筑与测绘工程学院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B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B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5 </w:t>
            </w:r>
          </w:p>
        </w:tc>
      </w:tr>
      <w:tr w14:paraId="62BB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A7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DD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53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4 </w:t>
            </w:r>
          </w:p>
        </w:tc>
      </w:tr>
      <w:tr w14:paraId="3FE9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0" w:type="pct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4421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99" w:type="pct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E28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930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B21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81</w:t>
            </w:r>
          </w:p>
        </w:tc>
      </w:tr>
    </w:tbl>
    <w:p w14:paraId="09712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A5B408B"/>
    <w:sectPr>
      <w:pgSz w:w="11900" w:h="16830"/>
      <w:pgMar w:top="1440" w:right="1803" w:bottom="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C729A-1C4A-4DFA-91EE-66F413C14A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706C0A-B4B6-468C-B0C5-952CB04A60B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8DF974-8DCB-48E7-B93D-AB2EA79328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691757A-A677-4203-9E40-EBDFA24313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TkwMGY1MmNmYjVmZjQxNTQ2NzRjMWJiMDkzYWQifQ=="/>
  </w:docVars>
  <w:rsids>
    <w:rsidRoot w:val="00000000"/>
    <w:rsid w:val="005C381C"/>
    <w:rsid w:val="07350EB1"/>
    <w:rsid w:val="07B93E44"/>
    <w:rsid w:val="0C773FF3"/>
    <w:rsid w:val="0CB25302"/>
    <w:rsid w:val="227F4065"/>
    <w:rsid w:val="2BA32F62"/>
    <w:rsid w:val="325C78F8"/>
    <w:rsid w:val="35CD653F"/>
    <w:rsid w:val="3DD5088B"/>
    <w:rsid w:val="41AE2885"/>
    <w:rsid w:val="45CB2915"/>
    <w:rsid w:val="53F5327C"/>
    <w:rsid w:val="72B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475</Characters>
  <Lines>0</Lines>
  <Paragraphs>0</Paragraphs>
  <TotalTime>0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2024-09-29T08:36:00Z</dcterms:created>
  <dc:creator>102</dc:creator>
  <cp:lastModifiedBy>杨启晖</cp:lastModifiedBy>
  <dcterms:modified xsi:type="dcterms:W3CDTF">2025-09-23T07:19:56Z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2B46C1FF8E0946358B98E31ECA85DD94_12</vt:lpwstr>
  </property>
  <property fmtid="{D5CDD505-2E9C-101B-9397-08002B2CF9AE}" pid="4" name="KSOTemplateDocerSaveRecord">
    <vt:lpwstr>eyJoZGlkIjoiZWRjMTkwMGY1MmNmYjVmZjQxNTQ2NzRjMWJiMDkzYWQiLCJ1c2VySWQiOiIxNjU0MDY0NTkxIn0=</vt:lpwstr>
  </property>
</Properties>
</file>