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C8328">
      <w:pPr>
        <w:widowControl/>
        <w:kinsoku/>
        <w:autoSpaceDE/>
        <w:autoSpaceDN/>
        <w:adjustRightInd w:val="0"/>
        <w:snapToGrid w:val="0"/>
        <w:spacing w:line="560" w:lineRule="exact"/>
        <w:jc w:val="both"/>
        <w:textAlignment w:val="auto"/>
        <w:rPr>
          <w:rFonts w:hint="eastAsia" w:ascii="仿宋_GB2312" w:hAnsi="Times New Roman" w:eastAsia="仿宋_GB2312" w:cs="Times New Roman"/>
          <w:snapToGrid/>
          <w:kern w:val="2"/>
          <w:sz w:val="24"/>
          <w:szCs w:val="24"/>
          <w:lang w:val="en-US" w:eastAsia="zh-CN"/>
        </w:rPr>
      </w:pPr>
      <w:r>
        <w:rPr>
          <w:rFonts w:hint="eastAsia" w:ascii="仿宋_GB2312" w:hAnsi="Times New Roman" w:eastAsia="仿宋_GB2312" w:cs="Times New Roman"/>
          <w:snapToGrid/>
          <w:kern w:val="2"/>
          <w:sz w:val="24"/>
          <w:szCs w:val="24"/>
          <w:lang w:val="en-US" w:eastAsia="zh-CN"/>
        </w:rPr>
        <w:t>附件3.</w:t>
      </w:r>
    </w:p>
    <w:p w14:paraId="16AA3C70">
      <w:pPr>
        <w:widowControl w:val="0"/>
        <w:kinsoku/>
        <w:autoSpaceDE/>
        <w:autoSpaceDN/>
        <w:adjustRightInd/>
        <w:snapToGrid/>
        <w:spacing w:line="560" w:lineRule="atLeast"/>
        <w:jc w:val="center"/>
        <w:textAlignment w:val="auto"/>
        <w:rPr>
          <w:rFonts w:hint="eastAsia" w:ascii="方正小标宋_GBK" w:hAnsi="黑体" w:eastAsia="方正小标宋_GBK" w:cs="Times New Roman"/>
          <w:snapToGrid/>
          <w:kern w:val="2"/>
          <w:sz w:val="32"/>
          <w:szCs w:val="32"/>
          <w:lang w:val="en-US" w:eastAsia="zh-CN"/>
        </w:rPr>
      </w:pPr>
      <w:r>
        <w:rPr>
          <w:rFonts w:hint="eastAsia" w:ascii="方正小标宋_GBK" w:hAnsi="黑体" w:eastAsia="方正小标宋_GBK" w:cs="Times New Roman"/>
          <w:snapToGrid/>
          <w:kern w:val="2"/>
          <w:sz w:val="32"/>
          <w:szCs w:val="32"/>
          <w:lang w:val="en-US" w:eastAsia="zh-CN"/>
        </w:rPr>
        <w:t>北京工业职业技术学院</w:t>
      </w:r>
    </w:p>
    <w:p w14:paraId="1D10223A">
      <w:pPr>
        <w:widowControl w:val="0"/>
        <w:kinsoku/>
        <w:autoSpaceDE/>
        <w:autoSpaceDN/>
        <w:adjustRightInd/>
        <w:snapToGrid/>
        <w:spacing w:line="560" w:lineRule="atLeast"/>
        <w:jc w:val="center"/>
        <w:textAlignment w:val="auto"/>
        <w:rPr>
          <w:rFonts w:hint="eastAsia" w:ascii="方正小标宋_GBK" w:hAnsi="黑体" w:eastAsia="方正小标宋_GBK" w:cs="Times New Roman"/>
          <w:snapToGrid/>
          <w:kern w:val="2"/>
          <w:sz w:val="32"/>
          <w:szCs w:val="32"/>
          <w:lang w:val="en-US" w:eastAsia="zh-CN"/>
        </w:rPr>
      </w:pPr>
      <w:r>
        <w:rPr>
          <w:rFonts w:hint="eastAsia" w:ascii="方正小标宋_GBK" w:hAnsi="黑体" w:eastAsia="方正小标宋_GBK" w:cs="Times New Roman"/>
          <w:snapToGrid/>
          <w:kern w:val="2"/>
          <w:sz w:val="32"/>
          <w:szCs w:val="32"/>
          <w:lang w:val="en-US" w:eastAsia="zh-CN"/>
        </w:rPr>
        <w:t>2025—2026学年中职政府奖学金名额分配方案</w:t>
      </w:r>
    </w:p>
    <w:p w14:paraId="4EBE73DA">
      <w:pPr>
        <w:widowControl/>
        <w:kinsoku/>
        <w:autoSpaceDE/>
        <w:autoSpaceDN/>
        <w:adjustRightInd w:val="0"/>
        <w:snapToGrid w:val="0"/>
        <w:spacing w:line="560" w:lineRule="exact"/>
        <w:ind w:firstLine="560" w:firstLineChars="200"/>
        <w:jc w:val="both"/>
        <w:textAlignment w:val="auto"/>
        <w:rPr>
          <w:rFonts w:hint="default" w:ascii="仿宋_GB2312" w:hAnsi="Times New Roman" w:eastAsia="仿宋_GB2312" w:cs="Times New Roman"/>
          <w:snapToGrid/>
          <w:kern w:val="2"/>
          <w:sz w:val="28"/>
          <w:szCs w:val="28"/>
          <w:lang w:val="en-US" w:eastAsia="zh-CN"/>
        </w:rPr>
      </w:pPr>
      <w:r>
        <w:rPr>
          <w:rFonts w:hint="default" w:ascii="仿宋_GB2312" w:hAnsi="Times New Roman" w:eastAsia="仿宋_GB2312" w:cs="Times New Roman"/>
          <w:snapToGrid/>
          <w:kern w:val="2"/>
          <w:sz w:val="28"/>
          <w:szCs w:val="28"/>
          <w:lang w:val="en-US" w:eastAsia="zh-CN"/>
        </w:rPr>
        <w:t>为贯彻落实国家教育资助政策，助力学生全面发展成长，根据</w:t>
      </w:r>
      <w:r>
        <w:rPr>
          <w:rFonts w:hint="eastAsia" w:ascii="仿宋_GB2312" w:hAnsi="Times New Roman" w:eastAsia="仿宋_GB2312" w:cs="Times New Roman"/>
          <w:snapToGrid/>
          <w:kern w:val="2"/>
          <w:sz w:val="28"/>
          <w:szCs w:val="28"/>
          <w:lang w:val="en-US" w:eastAsia="zh-CN"/>
        </w:rPr>
        <w:t>北京市教育资产与财务管理事务中心</w:t>
      </w:r>
      <w:r>
        <w:rPr>
          <w:rFonts w:hint="default" w:ascii="仿宋_GB2312" w:hAnsi="Times New Roman" w:eastAsia="仿宋_GB2312" w:cs="Times New Roman"/>
          <w:snapToGrid/>
          <w:kern w:val="2"/>
          <w:sz w:val="28"/>
          <w:szCs w:val="28"/>
          <w:lang w:val="en-US" w:eastAsia="zh-CN"/>
        </w:rPr>
        <w:t>《</w:t>
      </w:r>
      <w:r>
        <w:rPr>
          <w:rFonts w:hint="eastAsia" w:ascii="仿宋_GB2312" w:hAnsi="Times New Roman" w:eastAsia="仿宋_GB2312" w:cs="Times New Roman"/>
          <w:sz w:val="28"/>
          <w:szCs w:val="28"/>
        </w:rPr>
        <w:t>关于做好2026年中等职业教育国家奖学金和北京市政府奖学金评审发放和材料填报工作的通知</w:t>
      </w:r>
      <w:r>
        <w:rPr>
          <w:rFonts w:hint="default" w:ascii="仿宋_GB2312" w:hAnsi="Times New Roman" w:eastAsia="仿宋_GB2312" w:cs="Times New Roman"/>
          <w:snapToGrid/>
          <w:kern w:val="2"/>
          <w:sz w:val="28"/>
          <w:szCs w:val="28"/>
          <w:lang w:val="en-US" w:eastAsia="zh-CN"/>
        </w:rPr>
        <w:t>》</w:t>
      </w:r>
      <w:r>
        <w:rPr>
          <w:rFonts w:hint="eastAsia" w:ascii="仿宋_GB2312" w:hAnsi="Times New Roman" w:eastAsia="仿宋_GB2312" w:cs="Times New Roman"/>
          <w:sz w:val="28"/>
          <w:szCs w:val="28"/>
        </w:rPr>
        <w:t>(教助中心〔202</w:t>
      </w:r>
      <w:r>
        <w:rPr>
          <w:rFonts w:hint="eastAsia" w:ascii="仿宋_GB2312" w:hAnsi="Times New Roman" w:eastAsia="仿宋_GB2312" w:cs="Times New Roman"/>
          <w:sz w:val="28"/>
          <w:szCs w:val="28"/>
          <w:lang w:val="en-US" w:eastAsia="zh-CN"/>
        </w:rPr>
        <w:t>6</w:t>
      </w:r>
      <w:r>
        <w:rPr>
          <w:rFonts w:hint="eastAsia" w:ascii="仿宋_GB2312" w:hAnsi="Times New Roman" w:eastAsia="仿宋_GB2312" w:cs="Times New Roman"/>
          <w:sz w:val="28"/>
          <w:szCs w:val="28"/>
        </w:rPr>
        <w:t>〕</w:t>
      </w:r>
      <w:r>
        <w:rPr>
          <w:rFonts w:hint="eastAsia" w:ascii="仿宋_GB2312" w:hAnsi="Times New Roman" w:eastAsia="仿宋_GB2312" w:cs="Times New Roman"/>
          <w:sz w:val="28"/>
          <w:szCs w:val="28"/>
          <w:lang w:val="en-US" w:eastAsia="zh-CN"/>
        </w:rPr>
        <w:t>86</w:t>
      </w:r>
      <w:r>
        <w:rPr>
          <w:rFonts w:hint="eastAsia" w:ascii="仿宋_GB2312" w:hAnsi="Times New Roman" w:eastAsia="仿宋_GB2312" w:cs="Times New Roman"/>
          <w:sz w:val="28"/>
          <w:szCs w:val="28"/>
        </w:rPr>
        <w:t>号)</w:t>
      </w:r>
      <w:r>
        <w:rPr>
          <w:rFonts w:hint="default" w:ascii="仿宋_GB2312" w:hAnsi="Times New Roman" w:eastAsia="仿宋_GB2312" w:cs="Times New Roman"/>
          <w:snapToGrid/>
          <w:kern w:val="2"/>
          <w:sz w:val="28"/>
          <w:szCs w:val="28"/>
          <w:lang w:val="en-US" w:eastAsia="zh-CN"/>
        </w:rPr>
        <w:t>要求，结合学校工作实际，现对我校</w:t>
      </w:r>
      <w:r>
        <w:rPr>
          <w:rFonts w:hint="eastAsia" w:ascii="仿宋_GB2312" w:hAnsi="Times New Roman" w:eastAsia="仿宋_GB2312" w:cs="Times New Roman"/>
          <w:snapToGrid/>
          <w:kern w:val="2"/>
          <w:sz w:val="28"/>
          <w:szCs w:val="28"/>
          <w:lang w:val="en-US" w:eastAsia="zh-CN"/>
        </w:rPr>
        <w:t>2026</w:t>
      </w:r>
      <w:r>
        <w:rPr>
          <w:rFonts w:hint="default" w:ascii="仿宋_GB2312" w:hAnsi="Times New Roman" w:eastAsia="仿宋_GB2312" w:cs="Times New Roman"/>
          <w:snapToGrid/>
          <w:kern w:val="2"/>
          <w:sz w:val="28"/>
          <w:szCs w:val="28"/>
          <w:lang w:val="en-US" w:eastAsia="zh-CN"/>
        </w:rPr>
        <w:t>年</w:t>
      </w:r>
      <w:r>
        <w:rPr>
          <w:rFonts w:hint="eastAsia" w:ascii="仿宋_GB2312" w:hAnsi="Times New Roman" w:eastAsia="仿宋_GB2312" w:cs="Times New Roman"/>
          <w:snapToGrid/>
          <w:kern w:val="2"/>
          <w:sz w:val="28"/>
          <w:szCs w:val="28"/>
          <w:lang w:val="en-US" w:eastAsia="zh-CN"/>
        </w:rPr>
        <w:t>度中职政府</w:t>
      </w:r>
      <w:r>
        <w:rPr>
          <w:rFonts w:hint="default" w:ascii="仿宋_GB2312" w:hAnsi="Times New Roman" w:eastAsia="仿宋_GB2312" w:cs="Times New Roman"/>
          <w:snapToGrid/>
          <w:kern w:val="2"/>
          <w:sz w:val="28"/>
          <w:szCs w:val="28"/>
          <w:lang w:val="en-US" w:eastAsia="zh-CN"/>
        </w:rPr>
        <w:t>奖助学金名额进行分配。具体分配方案如下：</w:t>
      </w:r>
    </w:p>
    <w:p w14:paraId="29A9D76C">
      <w:pPr>
        <w:widowControl/>
        <w:kinsoku/>
        <w:autoSpaceDE/>
        <w:autoSpaceDN/>
        <w:adjustRightInd w:val="0"/>
        <w:snapToGrid w:val="0"/>
        <w:spacing w:line="560" w:lineRule="exact"/>
        <w:ind w:firstLine="562" w:firstLineChars="200"/>
        <w:jc w:val="both"/>
        <w:textAlignment w:val="auto"/>
        <w:rPr>
          <w:rFonts w:hint="default" w:ascii="仿宋_GB2312" w:hAnsi="Times New Roman" w:eastAsia="仿宋_GB2312" w:cs="Times New Roman"/>
          <w:b/>
          <w:bCs/>
          <w:snapToGrid/>
          <w:kern w:val="2"/>
          <w:sz w:val="28"/>
          <w:szCs w:val="28"/>
          <w:lang w:val="en-US" w:eastAsia="zh-CN"/>
        </w:rPr>
      </w:pPr>
      <w:r>
        <w:rPr>
          <w:rFonts w:hint="default" w:ascii="仿宋_GB2312" w:hAnsi="Times New Roman" w:eastAsia="仿宋_GB2312" w:cs="Times New Roman"/>
          <w:b/>
          <w:bCs/>
          <w:snapToGrid/>
          <w:kern w:val="2"/>
          <w:sz w:val="28"/>
          <w:szCs w:val="28"/>
          <w:lang w:val="en-US" w:eastAsia="zh-CN"/>
        </w:rPr>
        <w:t>一、</w:t>
      </w:r>
      <w:r>
        <w:rPr>
          <w:rFonts w:hint="eastAsia" w:ascii="仿宋_GB2312" w:hAnsi="Times New Roman" w:eastAsia="仿宋_GB2312" w:cs="Times New Roman"/>
          <w:b/>
          <w:bCs/>
          <w:snapToGrid/>
          <w:kern w:val="2"/>
          <w:sz w:val="28"/>
          <w:szCs w:val="28"/>
          <w:lang w:val="en-US" w:eastAsia="zh-CN"/>
        </w:rPr>
        <w:t>学校划拨名额</w:t>
      </w:r>
    </w:p>
    <w:p w14:paraId="13D7EB7E">
      <w:pPr>
        <w:widowControl/>
        <w:adjustRightInd w:val="0"/>
        <w:snapToGrid w:val="0"/>
        <w:spacing w:line="560" w:lineRule="exact"/>
        <w:ind w:firstLine="560" w:firstLineChars="200"/>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rPr>
        <w:t>根据教育部全国学生资助管理中心函件，分配我校202</w:t>
      </w:r>
      <w:r>
        <w:rPr>
          <w:rFonts w:hint="eastAsia" w:ascii="仿宋_GB2312" w:hAnsi="Times New Roman" w:eastAsia="仿宋_GB2312" w:cs="Times New Roman"/>
          <w:sz w:val="28"/>
          <w:szCs w:val="28"/>
          <w:lang w:val="en-US" w:eastAsia="zh-CN"/>
        </w:rPr>
        <w:t>6</w:t>
      </w:r>
      <w:r>
        <w:rPr>
          <w:rFonts w:hint="eastAsia" w:ascii="仿宋_GB2312" w:hAnsi="Times New Roman" w:eastAsia="仿宋_GB2312" w:cs="Times New Roman"/>
          <w:sz w:val="28"/>
          <w:szCs w:val="28"/>
        </w:rPr>
        <w:t>年中职</w:t>
      </w:r>
      <w:r>
        <w:rPr>
          <w:rFonts w:hint="eastAsia" w:ascii="仿宋_GB2312" w:hAnsi="Times New Roman" w:eastAsia="仿宋_GB2312" w:cs="Times New Roman"/>
          <w:sz w:val="28"/>
          <w:szCs w:val="28"/>
          <w:lang w:eastAsia="zh-CN"/>
        </w:rPr>
        <w:t>北京市政府</w:t>
      </w:r>
      <w:r>
        <w:rPr>
          <w:rFonts w:hint="eastAsia" w:ascii="仿宋_GB2312" w:hAnsi="Times New Roman" w:eastAsia="仿宋_GB2312" w:cs="Times New Roman"/>
          <w:sz w:val="28"/>
          <w:szCs w:val="28"/>
        </w:rPr>
        <w:t>奖学金名额</w:t>
      </w:r>
      <w:r>
        <w:rPr>
          <w:rFonts w:hint="eastAsia" w:ascii="仿宋_GB2312" w:hAnsi="Times New Roman" w:eastAsia="仿宋_GB2312" w:cs="Times New Roman"/>
          <w:sz w:val="28"/>
          <w:szCs w:val="28"/>
          <w:lang w:val="en-US" w:eastAsia="zh-CN"/>
        </w:rPr>
        <w:t>69</w:t>
      </w:r>
      <w:r>
        <w:rPr>
          <w:rFonts w:hint="eastAsia" w:ascii="仿宋_GB2312" w:hAnsi="Times New Roman" w:eastAsia="仿宋_GB2312" w:cs="Times New Roman"/>
          <w:sz w:val="28"/>
          <w:szCs w:val="28"/>
        </w:rPr>
        <w:t>人。</w:t>
      </w:r>
    </w:p>
    <w:p w14:paraId="58CAE95C">
      <w:pPr>
        <w:widowControl/>
        <w:kinsoku/>
        <w:autoSpaceDE/>
        <w:autoSpaceDN/>
        <w:adjustRightInd w:val="0"/>
        <w:snapToGrid w:val="0"/>
        <w:spacing w:line="560" w:lineRule="exact"/>
        <w:ind w:firstLine="562" w:firstLineChars="200"/>
        <w:jc w:val="both"/>
        <w:textAlignment w:val="auto"/>
        <w:rPr>
          <w:rFonts w:hint="default" w:ascii="仿宋_GB2312" w:hAnsi="Times New Roman" w:eastAsia="仿宋_GB2312" w:cs="Times New Roman"/>
          <w:b/>
          <w:bCs/>
          <w:snapToGrid/>
          <w:kern w:val="2"/>
          <w:sz w:val="28"/>
          <w:szCs w:val="28"/>
          <w:lang w:val="en-US" w:eastAsia="zh-CN"/>
        </w:rPr>
      </w:pPr>
      <w:r>
        <w:rPr>
          <w:rFonts w:hint="default" w:ascii="仿宋_GB2312" w:hAnsi="Times New Roman" w:eastAsia="仿宋_GB2312" w:cs="Times New Roman"/>
          <w:b/>
          <w:bCs/>
          <w:snapToGrid/>
          <w:kern w:val="2"/>
          <w:sz w:val="28"/>
          <w:szCs w:val="28"/>
          <w:lang w:val="en-US" w:eastAsia="zh-CN"/>
        </w:rPr>
        <w:t>二、分配原则</w:t>
      </w:r>
    </w:p>
    <w:p w14:paraId="232F5F50">
      <w:pPr>
        <w:widowControl/>
        <w:kinsoku/>
        <w:autoSpaceDE/>
        <w:autoSpaceDN/>
        <w:adjustRightInd w:val="0"/>
        <w:snapToGrid w:val="0"/>
        <w:spacing w:line="560" w:lineRule="exact"/>
        <w:ind w:firstLine="560" w:firstLineChars="200"/>
        <w:jc w:val="both"/>
        <w:textAlignment w:val="auto"/>
        <w:rPr>
          <w:rFonts w:hint="default" w:ascii="仿宋_GB2312" w:hAnsi="Times New Roman" w:eastAsia="仿宋_GB2312" w:cs="Times New Roman"/>
          <w:snapToGrid/>
          <w:kern w:val="2"/>
          <w:sz w:val="28"/>
          <w:szCs w:val="28"/>
          <w:lang w:val="en-US" w:eastAsia="zh-CN"/>
        </w:rPr>
      </w:pPr>
      <w:r>
        <w:rPr>
          <w:rFonts w:hint="eastAsia" w:ascii="仿宋_GB2312" w:hAnsi="Times New Roman" w:eastAsia="仿宋_GB2312" w:cs="Times New Roman"/>
          <w:snapToGrid/>
          <w:kern w:val="2"/>
          <w:sz w:val="28"/>
          <w:szCs w:val="28"/>
          <w:lang w:val="en-US" w:eastAsia="zh-CN"/>
        </w:rPr>
        <w:t>北京市</w:t>
      </w:r>
      <w:r>
        <w:rPr>
          <w:rFonts w:hint="default" w:ascii="仿宋_GB2312" w:hAnsi="Times New Roman" w:eastAsia="仿宋_GB2312" w:cs="Times New Roman"/>
          <w:snapToGrid/>
          <w:kern w:val="2"/>
          <w:sz w:val="28"/>
          <w:szCs w:val="28"/>
          <w:lang w:val="en-US" w:eastAsia="zh-CN"/>
        </w:rPr>
        <w:t>中等职业学校政府奖学金名额按照</w:t>
      </w:r>
      <w:r>
        <w:rPr>
          <w:rFonts w:hint="eastAsia" w:ascii="仿宋_GB2312" w:hAnsi="Times New Roman" w:eastAsia="仿宋_GB2312" w:cs="Times New Roman"/>
          <w:snapToGrid/>
          <w:kern w:val="2"/>
          <w:sz w:val="28"/>
          <w:szCs w:val="28"/>
          <w:lang w:val="en-US" w:eastAsia="zh-CN"/>
        </w:rPr>
        <w:t>各二级学院</w:t>
      </w:r>
      <w:r>
        <w:rPr>
          <w:rFonts w:hint="default" w:ascii="仿宋_GB2312" w:hAnsi="Times New Roman" w:eastAsia="仿宋_GB2312" w:cs="Times New Roman"/>
          <w:snapToGrid/>
          <w:kern w:val="2"/>
          <w:sz w:val="28"/>
          <w:szCs w:val="28"/>
          <w:lang w:val="en-US" w:eastAsia="zh-CN"/>
        </w:rPr>
        <w:t>学生比例进行分配，即按照各</w:t>
      </w:r>
      <w:r>
        <w:rPr>
          <w:rFonts w:hint="eastAsia" w:ascii="仿宋_GB2312" w:hAnsi="Times New Roman" w:eastAsia="仿宋_GB2312" w:cs="Times New Roman"/>
          <w:snapToGrid/>
          <w:kern w:val="2"/>
          <w:sz w:val="28"/>
          <w:szCs w:val="28"/>
          <w:lang w:val="en-US" w:eastAsia="zh-CN"/>
        </w:rPr>
        <w:t>二级</w:t>
      </w:r>
      <w:r>
        <w:rPr>
          <w:rFonts w:hint="default" w:ascii="仿宋_GB2312" w:hAnsi="Times New Roman" w:eastAsia="仿宋_GB2312" w:cs="Times New Roman"/>
          <w:snapToGrid/>
          <w:kern w:val="2"/>
          <w:sz w:val="28"/>
          <w:szCs w:val="28"/>
          <w:lang w:val="en-US" w:eastAsia="zh-CN"/>
        </w:rPr>
        <w:t>学院</w:t>
      </w:r>
      <w:r>
        <w:rPr>
          <w:rFonts w:hint="eastAsia" w:ascii="仿宋_GB2312" w:hAnsi="Times New Roman" w:eastAsia="仿宋_GB2312" w:cs="Times New Roman"/>
          <w:snapToGrid/>
          <w:kern w:val="2"/>
          <w:sz w:val="28"/>
          <w:szCs w:val="28"/>
          <w:lang w:val="en-US" w:eastAsia="zh-CN"/>
        </w:rPr>
        <w:t>二年级及以上中职</w:t>
      </w:r>
      <w:r>
        <w:rPr>
          <w:rFonts w:hint="default" w:ascii="仿宋_GB2312" w:hAnsi="Times New Roman" w:eastAsia="仿宋_GB2312" w:cs="Times New Roman"/>
          <w:snapToGrid/>
          <w:kern w:val="2"/>
          <w:sz w:val="28"/>
          <w:szCs w:val="28"/>
          <w:lang w:val="en-US" w:eastAsia="zh-CN"/>
        </w:rPr>
        <w:t>学生数占学校</w:t>
      </w:r>
      <w:r>
        <w:rPr>
          <w:rFonts w:hint="eastAsia" w:ascii="仿宋_GB2312" w:hAnsi="Times New Roman" w:eastAsia="仿宋_GB2312" w:cs="Times New Roman"/>
          <w:snapToGrid/>
          <w:kern w:val="2"/>
          <w:sz w:val="28"/>
          <w:szCs w:val="28"/>
          <w:lang w:val="en-US" w:eastAsia="zh-CN"/>
        </w:rPr>
        <w:t>二年级及以上中职学生</w:t>
      </w:r>
      <w:r>
        <w:rPr>
          <w:rFonts w:hint="default" w:ascii="仿宋_GB2312" w:hAnsi="Times New Roman" w:eastAsia="仿宋_GB2312" w:cs="Times New Roman"/>
          <w:snapToGrid/>
          <w:kern w:val="2"/>
          <w:sz w:val="28"/>
          <w:szCs w:val="28"/>
          <w:lang w:val="en-US" w:eastAsia="zh-CN"/>
        </w:rPr>
        <w:t>总数的比例分配名额</w:t>
      </w:r>
      <w:r>
        <w:rPr>
          <w:rFonts w:hint="eastAsia" w:ascii="仿宋_GB2312" w:hAnsi="Times New Roman" w:eastAsia="仿宋_GB2312" w:cs="Times New Roman"/>
          <w:snapToGrid/>
          <w:kern w:val="2"/>
          <w:sz w:val="28"/>
          <w:szCs w:val="28"/>
          <w:lang w:val="en-US" w:eastAsia="zh-CN"/>
        </w:rPr>
        <w:t>，计算过程如遇小数则根据四舍五入原则，结合实际情况进行确认</w:t>
      </w:r>
      <w:r>
        <w:rPr>
          <w:rFonts w:hint="default" w:ascii="仿宋_GB2312" w:hAnsi="Times New Roman" w:eastAsia="仿宋_GB2312" w:cs="Times New Roman"/>
          <w:snapToGrid/>
          <w:kern w:val="2"/>
          <w:sz w:val="28"/>
          <w:szCs w:val="28"/>
          <w:lang w:val="en-US" w:eastAsia="zh-CN"/>
        </w:rPr>
        <w:t>。</w:t>
      </w:r>
    </w:p>
    <w:p w14:paraId="0F47C75A">
      <w:pPr>
        <w:widowControl/>
        <w:kinsoku/>
        <w:autoSpaceDE/>
        <w:autoSpaceDN/>
        <w:adjustRightInd w:val="0"/>
        <w:snapToGrid w:val="0"/>
        <w:spacing w:line="560" w:lineRule="exact"/>
        <w:ind w:firstLine="562" w:firstLineChars="200"/>
        <w:jc w:val="both"/>
        <w:textAlignment w:val="auto"/>
        <w:rPr>
          <w:rFonts w:hint="eastAsia" w:ascii="仿宋_GB2312" w:hAnsi="Times New Roman" w:eastAsia="仿宋_GB2312" w:cs="Times New Roman"/>
          <w:b/>
          <w:bCs/>
          <w:snapToGrid/>
          <w:kern w:val="2"/>
          <w:sz w:val="28"/>
          <w:szCs w:val="28"/>
          <w:lang w:val="en-US" w:eastAsia="zh-CN"/>
        </w:rPr>
      </w:pPr>
      <w:r>
        <w:rPr>
          <w:rFonts w:hint="eastAsia" w:ascii="仿宋_GB2312" w:hAnsi="Times New Roman" w:eastAsia="仿宋_GB2312" w:cs="Times New Roman"/>
          <w:b/>
          <w:bCs/>
          <w:snapToGrid/>
          <w:kern w:val="2"/>
          <w:sz w:val="28"/>
          <w:szCs w:val="28"/>
          <w:lang w:val="en-US" w:eastAsia="zh-CN"/>
        </w:rPr>
        <w:t>三、名额分配</w:t>
      </w:r>
      <w:bookmarkStart w:id="0" w:name="_GoBack"/>
      <w:bookmarkEnd w:id="0"/>
    </w:p>
    <w:p w14:paraId="5855ADAF">
      <w:pPr>
        <w:widowControl/>
        <w:kinsoku/>
        <w:autoSpaceDE/>
        <w:autoSpaceDN/>
        <w:adjustRightInd w:val="0"/>
        <w:snapToGrid w:val="0"/>
        <w:spacing w:line="560" w:lineRule="exact"/>
        <w:ind w:firstLine="560" w:firstLineChars="200"/>
        <w:jc w:val="both"/>
        <w:textAlignment w:val="auto"/>
        <w:rPr>
          <w:rFonts w:hint="default" w:ascii="仿宋_GB2312" w:hAnsi="Times New Roman" w:eastAsia="仿宋_GB2312" w:cs="Times New Roman"/>
          <w:snapToGrid/>
          <w:kern w:val="2"/>
          <w:sz w:val="28"/>
          <w:szCs w:val="28"/>
          <w:lang w:val="en-US" w:eastAsia="zh-CN"/>
        </w:rPr>
      </w:pPr>
      <w:r>
        <w:rPr>
          <w:rFonts w:hint="default" w:ascii="仿宋_GB2312" w:hAnsi="Times New Roman" w:eastAsia="仿宋_GB2312" w:cs="Times New Roman"/>
          <w:snapToGrid/>
          <w:kern w:val="2"/>
          <w:sz w:val="28"/>
          <w:szCs w:val="28"/>
          <w:lang w:val="en-US" w:eastAsia="zh-CN"/>
        </w:rPr>
        <w:t>将学校划拨的名额，根据202</w:t>
      </w:r>
      <w:r>
        <w:rPr>
          <w:rFonts w:hint="eastAsia" w:ascii="仿宋_GB2312" w:hAnsi="Times New Roman" w:eastAsia="仿宋_GB2312" w:cs="Times New Roman"/>
          <w:snapToGrid/>
          <w:kern w:val="2"/>
          <w:sz w:val="28"/>
          <w:szCs w:val="28"/>
          <w:lang w:val="en-US" w:eastAsia="zh-CN"/>
        </w:rPr>
        <w:t>5</w:t>
      </w:r>
      <w:r>
        <w:rPr>
          <w:rFonts w:hint="default" w:ascii="仿宋_GB2312" w:hAnsi="Times New Roman" w:eastAsia="仿宋_GB2312" w:cs="Times New Roman"/>
          <w:snapToGrid/>
          <w:kern w:val="2"/>
          <w:sz w:val="28"/>
          <w:szCs w:val="28"/>
          <w:lang w:val="en-US" w:eastAsia="zh-CN"/>
        </w:rPr>
        <w:t>-202</w:t>
      </w:r>
      <w:r>
        <w:rPr>
          <w:rFonts w:hint="eastAsia" w:ascii="仿宋_GB2312" w:hAnsi="Times New Roman" w:eastAsia="仿宋_GB2312" w:cs="Times New Roman"/>
          <w:snapToGrid/>
          <w:kern w:val="2"/>
          <w:sz w:val="28"/>
          <w:szCs w:val="28"/>
          <w:lang w:val="en-US" w:eastAsia="zh-CN"/>
        </w:rPr>
        <w:t>6</w:t>
      </w:r>
      <w:r>
        <w:rPr>
          <w:rFonts w:hint="default" w:ascii="仿宋_GB2312" w:hAnsi="Times New Roman" w:eastAsia="仿宋_GB2312" w:cs="Times New Roman"/>
          <w:snapToGrid/>
          <w:kern w:val="2"/>
          <w:sz w:val="28"/>
          <w:szCs w:val="28"/>
          <w:lang w:val="en-US" w:eastAsia="zh-CN"/>
        </w:rPr>
        <w:t>学年</w:t>
      </w:r>
      <w:r>
        <w:rPr>
          <w:rFonts w:hint="eastAsia" w:ascii="仿宋_GB2312" w:hAnsi="Times New Roman" w:eastAsia="仿宋_GB2312" w:cs="Times New Roman"/>
          <w:snapToGrid/>
          <w:kern w:val="2"/>
          <w:sz w:val="28"/>
          <w:szCs w:val="28"/>
          <w:lang w:val="en-US" w:eastAsia="zh-CN"/>
        </w:rPr>
        <w:t>各二级学院</w:t>
      </w:r>
      <w:r>
        <w:rPr>
          <w:rFonts w:hint="default" w:ascii="仿宋_GB2312" w:hAnsi="Times New Roman" w:eastAsia="仿宋_GB2312" w:cs="Times New Roman"/>
          <w:snapToGrid/>
          <w:kern w:val="2"/>
          <w:sz w:val="28"/>
          <w:szCs w:val="28"/>
          <w:lang w:val="en-US" w:eastAsia="zh-CN"/>
        </w:rPr>
        <w:t>学生人数按比例（原则上四舍五入计算）分配至各</w:t>
      </w:r>
      <w:r>
        <w:rPr>
          <w:rFonts w:hint="eastAsia" w:ascii="仿宋_GB2312" w:hAnsi="Times New Roman" w:eastAsia="仿宋_GB2312" w:cs="Times New Roman"/>
          <w:snapToGrid/>
          <w:kern w:val="2"/>
          <w:sz w:val="28"/>
          <w:szCs w:val="28"/>
          <w:lang w:val="en-US" w:eastAsia="zh-CN"/>
        </w:rPr>
        <w:t>二级学院</w:t>
      </w:r>
      <w:r>
        <w:rPr>
          <w:rFonts w:hint="default" w:ascii="仿宋_GB2312" w:hAnsi="Times New Roman" w:eastAsia="仿宋_GB2312" w:cs="Times New Roman"/>
          <w:snapToGrid/>
          <w:kern w:val="2"/>
          <w:sz w:val="28"/>
          <w:szCs w:val="28"/>
          <w:lang w:val="en-US" w:eastAsia="zh-CN"/>
        </w:rPr>
        <w:t>。具体分配情况如下：</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10"/>
        <w:gridCol w:w="2211"/>
        <w:gridCol w:w="2586"/>
      </w:tblGrid>
      <w:tr w14:paraId="1F70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0" w:type="pct"/>
            <w:tcBorders>
              <w:top w:val="single" w:color="000000" w:sz="12" w:space="0"/>
              <w:left w:val="nil"/>
              <w:bottom w:val="single" w:color="000000" w:sz="4" w:space="0"/>
              <w:right w:val="nil"/>
              <w:tl2br w:val="nil"/>
            </w:tcBorders>
            <w:shd w:val="clear" w:color="auto" w:fill="auto"/>
          </w:tcPr>
          <w:p w14:paraId="20C23CD1">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val="0"/>
                <w:color w:val="000000"/>
                <w:sz w:val="24"/>
                <w:szCs w:val="24"/>
                <w:shd w:val="clear" w:color="auto" w:fill="FFFFFF"/>
                <w:vertAlign w:val="baseline"/>
                <w:lang w:val="en-US" w:eastAsia="zh-CN"/>
              </w:rPr>
            </w:pPr>
            <w:r>
              <w:rPr>
                <w:rFonts w:hint="eastAsia" w:ascii="仿宋" w:hAnsi="仿宋" w:eastAsia="仿宋" w:cs="仿宋"/>
                <w:b/>
                <w:bCs w:val="0"/>
                <w:color w:val="000000"/>
                <w:sz w:val="24"/>
                <w:szCs w:val="24"/>
                <w:shd w:val="clear" w:color="auto" w:fill="FFFFFF"/>
                <w:vertAlign w:val="baseline"/>
                <w:lang w:val="en-US" w:eastAsia="zh-CN"/>
              </w:rPr>
              <w:t>学院</w:t>
            </w:r>
          </w:p>
        </w:tc>
        <w:tc>
          <w:tcPr>
            <w:tcW w:w="1299" w:type="pct"/>
            <w:tcBorders>
              <w:top w:val="single" w:color="000000" w:sz="12" w:space="0"/>
              <w:left w:val="nil"/>
              <w:bottom w:val="single" w:color="000000" w:sz="4" w:space="0"/>
              <w:right w:val="nil"/>
            </w:tcBorders>
            <w:shd w:val="clear" w:color="auto" w:fill="auto"/>
            <w:vAlign w:val="center"/>
          </w:tcPr>
          <w:p w14:paraId="4C00FB55">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val="0"/>
                <w:color w:val="000000"/>
                <w:sz w:val="24"/>
                <w:szCs w:val="24"/>
                <w:shd w:val="clear" w:color="auto" w:fill="FFFFFF"/>
                <w:vertAlign w:val="baseline"/>
                <w:lang w:val="en-US" w:eastAsia="zh-CN"/>
              </w:rPr>
            </w:pPr>
            <w:r>
              <w:rPr>
                <w:rFonts w:hint="eastAsia" w:ascii="仿宋" w:hAnsi="仿宋" w:eastAsia="仿宋" w:cs="仿宋"/>
                <w:b/>
                <w:bCs w:val="0"/>
                <w:i w:val="0"/>
                <w:iCs w:val="0"/>
                <w:snapToGrid w:val="0"/>
                <w:color w:val="000000"/>
                <w:kern w:val="0"/>
                <w:sz w:val="24"/>
                <w:szCs w:val="24"/>
                <w:u w:val="none"/>
                <w:lang w:val="en-US" w:eastAsia="zh-CN" w:bidi="ar"/>
              </w:rPr>
              <w:t>参评学生数</w:t>
            </w:r>
          </w:p>
        </w:tc>
        <w:tc>
          <w:tcPr>
            <w:tcW w:w="1519" w:type="pct"/>
            <w:tcBorders>
              <w:top w:val="single" w:color="000000" w:sz="12" w:space="0"/>
              <w:left w:val="nil"/>
              <w:bottom w:val="single" w:color="000000" w:sz="4" w:space="0"/>
              <w:right w:val="nil"/>
            </w:tcBorders>
            <w:shd w:val="clear" w:color="auto" w:fill="auto"/>
            <w:vAlign w:val="center"/>
          </w:tcPr>
          <w:p w14:paraId="1ED132C4">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val="0"/>
                <w:color w:val="000000"/>
                <w:sz w:val="24"/>
                <w:szCs w:val="24"/>
                <w:shd w:val="clear" w:color="auto" w:fill="FFFFFF"/>
                <w:vertAlign w:val="baseline"/>
                <w:lang w:val="en-US" w:eastAsia="zh-CN"/>
              </w:rPr>
            </w:pPr>
            <w:r>
              <w:rPr>
                <w:rFonts w:hint="eastAsia" w:ascii="仿宋" w:hAnsi="仿宋" w:eastAsia="仿宋" w:cs="仿宋"/>
                <w:b/>
                <w:bCs w:val="0"/>
                <w:i w:val="0"/>
                <w:iCs w:val="0"/>
                <w:snapToGrid w:val="0"/>
                <w:color w:val="000000"/>
                <w:kern w:val="0"/>
                <w:sz w:val="24"/>
                <w:szCs w:val="24"/>
                <w:u w:val="none"/>
                <w:lang w:val="en-US" w:eastAsia="zh-CN" w:bidi="ar"/>
              </w:rPr>
              <w:t>学院分配名额</w:t>
            </w:r>
          </w:p>
        </w:tc>
      </w:tr>
      <w:tr w14:paraId="703B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0" w:type="pct"/>
            <w:tcBorders>
              <w:top w:val="single" w:color="000000" w:sz="4" w:space="0"/>
              <w:left w:val="nil"/>
              <w:bottom w:val="nil"/>
              <w:right w:val="nil"/>
            </w:tcBorders>
            <w:shd w:val="clear" w:color="auto" w:fill="auto"/>
            <w:vAlign w:val="center"/>
          </w:tcPr>
          <w:p w14:paraId="48FF7202">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b w:val="0"/>
                <w:i w:val="0"/>
                <w:iCs w:val="0"/>
                <w:snapToGrid w:val="0"/>
                <w:color w:val="000000"/>
                <w:kern w:val="0"/>
                <w:sz w:val="24"/>
                <w:szCs w:val="24"/>
                <w:u w:val="none"/>
                <w:lang w:val="en-US" w:eastAsia="zh-CN" w:bidi="ar"/>
              </w:rPr>
              <w:t>基础教育学院</w:t>
            </w:r>
          </w:p>
        </w:tc>
        <w:tc>
          <w:tcPr>
            <w:tcW w:w="1299" w:type="pct"/>
            <w:tcBorders>
              <w:top w:val="single" w:color="000000" w:sz="4" w:space="0"/>
              <w:left w:val="nil"/>
              <w:bottom w:val="nil"/>
              <w:right w:val="nil"/>
            </w:tcBorders>
            <w:shd w:val="clear" w:color="auto" w:fill="auto"/>
            <w:vAlign w:val="center"/>
          </w:tcPr>
          <w:p w14:paraId="4B8F3E90">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b w:val="0"/>
                <w:bCs/>
                <w:color w:val="000000"/>
                <w:sz w:val="24"/>
                <w:szCs w:val="24"/>
                <w:shd w:val="clear" w:color="auto" w:fill="FFFFFF"/>
                <w:vertAlign w:val="baseline"/>
                <w:lang w:val="en-US" w:eastAsia="zh-CN"/>
              </w:rPr>
              <w:t>711</w:t>
            </w:r>
          </w:p>
        </w:tc>
        <w:tc>
          <w:tcPr>
            <w:tcW w:w="2586" w:type="dxa"/>
            <w:tcBorders>
              <w:top w:val="single" w:color="000000" w:sz="4" w:space="0"/>
              <w:left w:val="nil"/>
              <w:bottom w:val="nil"/>
              <w:right w:val="nil"/>
            </w:tcBorders>
            <w:shd w:val="clear" w:color="auto" w:fill="auto"/>
            <w:vAlign w:val="center"/>
          </w:tcPr>
          <w:p w14:paraId="7F70A1B5">
            <w:pPr>
              <w:keepNext w:val="0"/>
              <w:keepLines w:val="0"/>
              <w:widowControl/>
              <w:suppressLineNumbers w:val="0"/>
              <w:jc w:val="center"/>
              <w:textAlignment w:val="center"/>
              <w:rPr>
                <w:rFonts w:hint="eastAsia"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i w:val="0"/>
                <w:iCs w:val="0"/>
                <w:snapToGrid w:val="0"/>
                <w:color w:val="000000"/>
                <w:kern w:val="0"/>
                <w:sz w:val="24"/>
                <w:szCs w:val="24"/>
                <w:u w:val="none"/>
                <w:lang w:val="en-US" w:eastAsia="zh-CN" w:bidi="ar"/>
              </w:rPr>
              <w:t>55</w:t>
            </w:r>
          </w:p>
        </w:tc>
      </w:tr>
      <w:tr w14:paraId="24CB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0" w:type="pct"/>
            <w:tcBorders>
              <w:top w:val="nil"/>
              <w:left w:val="nil"/>
              <w:bottom w:val="nil"/>
              <w:right w:val="nil"/>
            </w:tcBorders>
            <w:shd w:val="clear" w:color="auto" w:fill="auto"/>
            <w:vAlign w:val="center"/>
          </w:tcPr>
          <w:p w14:paraId="451EC051">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b w:val="0"/>
                <w:i w:val="0"/>
                <w:iCs w:val="0"/>
                <w:snapToGrid w:val="0"/>
                <w:color w:val="000000"/>
                <w:kern w:val="0"/>
                <w:sz w:val="24"/>
                <w:szCs w:val="24"/>
                <w:u w:val="none"/>
                <w:lang w:val="en-US" w:eastAsia="zh-CN" w:bidi="ar"/>
              </w:rPr>
              <w:t>文法与管理学院</w:t>
            </w:r>
          </w:p>
        </w:tc>
        <w:tc>
          <w:tcPr>
            <w:tcW w:w="1299" w:type="pct"/>
            <w:tcBorders>
              <w:top w:val="nil"/>
              <w:left w:val="nil"/>
              <w:bottom w:val="nil"/>
              <w:right w:val="nil"/>
            </w:tcBorders>
            <w:shd w:val="clear" w:color="auto" w:fill="auto"/>
            <w:vAlign w:val="center"/>
          </w:tcPr>
          <w:p w14:paraId="4861BAE7">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b w:val="0"/>
                <w:bCs/>
                <w:color w:val="000000"/>
                <w:sz w:val="24"/>
                <w:szCs w:val="24"/>
                <w:shd w:val="clear" w:color="auto" w:fill="FFFFFF"/>
                <w:vertAlign w:val="baseline"/>
                <w:lang w:val="en-US" w:eastAsia="zh-CN"/>
              </w:rPr>
              <w:t>61</w:t>
            </w:r>
          </w:p>
        </w:tc>
        <w:tc>
          <w:tcPr>
            <w:tcW w:w="2586" w:type="dxa"/>
            <w:tcBorders>
              <w:top w:val="nil"/>
              <w:left w:val="nil"/>
              <w:bottom w:val="nil"/>
              <w:right w:val="nil"/>
            </w:tcBorders>
            <w:shd w:val="clear" w:color="auto" w:fill="auto"/>
            <w:vAlign w:val="center"/>
          </w:tcPr>
          <w:p w14:paraId="5357E0A8">
            <w:pPr>
              <w:keepNext w:val="0"/>
              <w:keepLines w:val="0"/>
              <w:widowControl/>
              <w:suppressLineNumbers w:val="0"/>
              <w:jc w:val="center"/>
              <w:textAlignment w:val="center"/>
              <w:rPr>
                <w:rFonts w:hint="eastAsia"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i w:val="0"/>
                <w:iCs w:val="0"/>
                <w:snapToGrid w:val="0"/>
                <w:color w:val="000000"/>
                <w:kern w:val="0"/>
                <w:sz w:val="24"/>
                <w:szCs w:val="24"/>
                <w:u w:val="none"/>
                <w:lang w:val="en-US" w:eastAsia="zh-CN" w:bidi="ar"/>
              </w:rPr>
              <w:t>5</w:t>
            </w:r>
          </w:p>
        </w:tc>
      </w:tr>
      <w:tr w14:paraId="692B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0" w:type="pct"/>
            <w:tcBorders>
              <w:top w:val="nil"/>
              <w:left w:val="nil"/>
              <w:bottom w:val="nil"/>
              <w:right w:val="nil"/>
            </w:tcBorders>
            <w:shd w:val="clear" w:color="auto" w:fill="auto"/>
            <w:vAlign w:val="center"/>
          </w:tcPr>
          <w:p w14:paraId="0B67876F">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b w:val="0"/>
                <w:i w:val="0"/>
                <w:iCs w:val="0"/>
                <w:snapToGrid w:val="0"/>
                <w:color w:val="000000"/>
                <w:kern w:val="0"/>
                <w:sz w:val="24"/>
                <w:szCs w:val="24"/>
                <w:u w:val="none"/>
                <w:lang w:val="en-US" w:eastAsia="zh-CN" w:bidi="ar"/>
              </w:rPr>
              <w:t>信息工程学院</w:t>
            </w:r>
          </w:p>
        </w:tc>
        <w:tc>
          <w:tcPr>
            <w:tcW w:w="1299" w:type="pct"/>
            <w:tcBorders>
              <w:top w:val="nil"/>
              <w:left w:val="nil"/>
              <w:bottom w:val="nil"/>
              <w:right w:val="nil"/>
            </w:tcBorders>
            <w:shd w:val="clear" w:color="auto" w:fill="auto"/>
            <w:vAlign w:val="center"/>
          </w:tcPr>
          <w:p w14:paraId="56350134">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b w:val="0"/>
                <w:bCs/>
                <w:color w:val="000000"/>
                <w:sz w:val="24"/>
                <w:szCs w:val="24"/>
                <w:shd w:val="clear" w:color="auto" w:fill="FFFFFF"/>
                <w:vertAlign w:val="baseline"/>
                <w:lang w:val="en-US" w:eastAsia="zh-CN"/>
              </w:rPr>
              <w:t>29</w:t>
            </w:r>
          </w:p>
        </w:tc>
        <w:tc>
          <w:tcPr>
            <w:tcW w:w="2586" w:type="dxa"/>
            <w:tcBorders>
              <w:top w:val="nil"/>
              <w:left w:val="nil"/>
              <w:bottom w:val="nil"/>
              <w:right w:val="nil"/>
            </w:tcBorders>
            <w:shd w:val="clear" w:color="auto" w:fill="auto"/>
            <w:vAlign w:val="center"/>
          </w:tcPr>
          <w:p w14:paraId="7C58D90B">
            <w:pPr>
              <w:keepNext w:val="0"/>
              <w:keepLines w:val="0"/>
              <w:widowControl/>
              <w:suppressLineNumbers w:val="0"/>
              <w:jc w:val="center"/>
              <w:textAlignment w:val="center"/>
              <w:rPr>
                <w:rFonts w:hint="eastAsia"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i w:val="0"/>
                <w:iCs w:val="0"/>
                <w:snapToGrid w:val="0"/>
                <w:color w:val="000000"/>
                <w:kern w:val="0"/>
                <w:sz w:val="24"/>
                <w:szCs w:val="24"/>
                <w:u w:val="none"/>
                <w:lang w:val="en-US" w:eastAsia="zh-CN" w:bidi="ar"/>
              </w:rPr>
              <w:t>2</w:t>
            </w:r>
          </w:p>
        </w:tc>
      </w:tr>
      <w:tr w14:paraId="73E9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0" w:type="pct"/>
            <w:tcBorders>
              <w:top w:val="nil"/>
              <w:left w:val="nil"/>
              <w:bottom w:val="nil"/>
              <w:right w:val="nil"/>
            </w:tcBorders>
            <w:shd w:val="clear" w:color="auto" w:fill="auto"/>
            <w:vAlign w:val="center"/>
          </w:tcPr>
          <w:p w14:paraId="1DE441F4">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val="0"/>
                <w:i w:val="0"/>
                <w:iCs w:val="0"/>
                <w:snapToGrid w:val="0"/>
                <w:color w:val="000000"/>
                <w:kern w:val="0"/>
                <w:sz w:val="24"/>
                <w:szCs w:val="24"/>
                <w:u w:val="none"/>
                <w:lang w:val="en-US" w:eastAsia="zh-CN" w:bidi="ar"/>
              </w:rPr>
            </w:pPr>
            <w:r>
              <w:rPr>
                <w:rFonts w:hint="eastAsia" w:ascii="仿宋" w:hAnsi="仿宋" w:eastAsia="仿宋" w:cs="仿宋"/>
                <w:b w:val="0"/>
                <w:i w:val="0"/>
                <w:iCs w:val="0"/>
                <w:snapToGrid w:val="0"/>
                <w:color w:val="000000"/>
                <w:kern w:val="0"/>
                <w:sz w:val="24"/>
                <w:szCs w:val="24"/>
                <w:u w:val="none"/>
                <w:lang w:val="en-US" w:eastAsia="zh-CN" w:bidi="ar"/>
              </w:rPr>
              <w:t>城市安全学院</w:t>
            </w:r>
          </w:p>
        </w:tc>
        <w:tc>
          <w:tcPr>
            <w:tcW w:w="1299" w:type="pct"/>
            <w:tcBorders>
              <w:top w:val="nil"/>
              <w:left w:val="nil"/>
              <w:bottom w:val="nil"/>
              <w:right w:val="nil"/>
            </w:tcBorders>
            <w:shd w:val="clear" w:color="auto" w:fill="auto"/>
            <w:vAlign w:val="center"/>
          </w:tcPr>
          <w:p w14:paraId="2BBB29F1">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b w:val="0"/>
                <w:bCs/>
                <w:color w:val="000000"/>
                <w:sz w:val="24"/>
                <w:szCs w:val="24"/>
                <w:shd w:val="clear" w:color="auto" w:fill="FFFFFF"/>
                <w:vertAlign w:val="baseline"/>
                <w:lang w:val="en-US" w:eastAsia="zh-CN"/>
              </w:rPr>
              <w:t>27</w:t>
            </w:r>
          </w:p>
        </w:tc>
        <w:tc>
          <w:tcPr>
            <w:tcW w:w="2586" w:type="dxa"/>
            <w:tcBorders>
              <w:top w:val="nil"/>
              <w:left w:val="nil"/>
              <w:bottom w:val="nil"/>
              <w:right w:val="nil"/>
            </w:tcBorders>
            <w:shd w:val="clear" w:color="auto" w:fill="auto"/>
            <w:vAlign w:val="center"/>
          </w:tcPr>
          <w:p w14:paraId="3F10477B">
            <w:pPr>
              <w:keepNext w:val="0"/>
              <w:keepLines w:val="0"/>
              <w:widowControl/>
              <w:suppressLineNumbers w:val="0"/>
              <w:jc w:val="center"/>
              <w:textAlignment w:val="center"/>
              <w:rPr>
                <w:rFonts w:hint="eastAsia"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i w:val="0"/>
                <w:iCs w:val="0"/>
                <w:snapToGrid w:val="0"/>
                <w:color w:val="000000"/>
                <w:kern w:val="0"/>
                <w:sz w:val="24"/>
                <w:szCs w:val="24"/>
                <w:u w:val="none"/>
                <w:lang w:val="en-US" w:eastAsia="zh-CN" w:bidi="ar"/>
              </w:rPr>
              <w:t>2</w:t>
            </w:r>
          </w:p>
        </w:tc>
      </w:tr>
      <w:tr w14:paraId="0855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0" w:type="pct"/>
            <w:tcBorders>
              <w:top w:val="nil"/>
              <w:left w:val="nil"/>
              <w:bottom w:val="nil"/>
              <w:right w:val="nil"/>
            </w:tcBorders>
            <w:shd w:val="clear" w:color="auto" w:fill="auto"/>
            <w:vAlign w:val="center"/>
          </w:tcPr>
          <w:p w14:paraId="318E9CAD">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val="0"/>
                <w:i w:val="0"/>
                <w:iCs w:val="0"/>
                <w:snapToGrid w:val="0"/>
                <w:color w:val="000000"/>
                <w:kern w:val="0"/>
                <w:sz w:val="24"/>
                <w:szCs w:val="24"/>
                <w:u w:val="none"/>
                <w:lang w:val="en-US" w:eastAsia="zh-CN" w:bidi="ar"/>
              </w:rPr>
            </w:pPr>
            <w:r>
              <w:rPr>
                <w:rFonts w:hint="eastAsia" w:ascii="仿宋" w:hAnsi="仿宋" w:eastAsia="仿宋" w:cs="仿宋"/>
                <w:b w:val="0"/>
                <w:i w:val="0"/>
                <w:iCs w:val="0"/>
                <w:snapToGrid w:val="0"/>
                <w:color w:val="000000"/>
                <w:kern w:val="0"/>
                <w:sz w:val="24"/>
                <w:szCs w:val="24"/>
                <w:u w:val="none"/>
                <w:lang w:val="en-US" w:eastAsia="zh-CN" w:bidi="ar"/>
              </w:rPr>
              <w:t>建筑与测绘工程学院</w:t>
            </w:r>
          </w:p>
        </w:tc>
        <w:tc>
          <w:tcPr>
            <w:tcW w:w="1299" w:type="pct"/>
            <w:tcBorders>
              <w:top w:val="nil"/>
              <w:left w:val="nil"/>
              <w:bottom w:val="nil"/>
              <w:right w:val="nil"/>
            </w:tcBorders>
            <w:shd w:val="clear" w:color="auto" w:fill="auto"/>
            <w:vAlign w:val="center"/>
          </w:tcPr>
          <w:p w14:paraId="171B1890">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b w:val="0"/>
                <w:bCs/>
                <w:color w:val="000000"/>
                <w:sz w:val="24"/>
                <w:szCs w:val="24"/>
                <w:shd w:val="clear" w:color="auto" w:fill="FFFFFF"/>
                <w:vertAlign w:val="baseline"/>
                <w:lang w:val="en-US" w:eastAsia="zh-CN"/>
              </w:rPr>
              <w:t>30</w:t>
            </w:r>
          </w:p>
        </w:tc>
        <w:tc>
          <w:tcPr>
            <w:tcW w:w="2586" w:type="dxa"/>
            <w:tcBorders>
              <w:top w:val="nil"/>
              <w:left w:val="nil"/>
              <w:bottom w:val="nil"/>
              <w:right w:val="nil"/>
            </w:tcBorders>
            <w:shd w:val="clear" w:color="auto" w:fill="auto"/>
            <w:vAlign w:val="center"/>
          </w:tcPr>
          <w:p w14:paraId="7F7B2C95">
            <w:pPr>
              <w:keepNext w:val="0"/>
              <w:keepLines w:val="0"/>
              <w:widowControl/>
              <w:suppressLineNumbers w:val="0"/>
              <w:jc w:val="center"/>
              <w:textAlignment w:val="center"/>
              <w:rPr>
                <w:rFonts w:hint="eastAsia"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i w:val="0"/>
                <w:iCs w:val="0"/>
                <w:snapToGrid w:val="0"/>
                <w:color w:val="000000"/>
                <w:kern w:val="0"/>
                <w:sz w:val="24"/>
                <w:szCs w:val="24"/>
                <w:u w:val="none"/>
                <w:lang w:val="en-US" w:eastAsia="zh-CN" w:bidi="ar"/>
              </w:rPr>
              <w:t>2</w:t>
            </w:r>
          </w:p>
        </w:tc>
      </w:tr>
      <w:tr w14:paraId="62BB2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0" w:type="pct"/>
            <w:tcBorders>
              <w:top w:val="nil"/>
              <w:left w:val="nil"/>
              <w:bottom w:val="single" w:color="auto" w:sz="4" w:space="0"/>
              <w:right w:val="nil"/>
            </w:tcBorders>
            <w:shd w:val="clear" w:color="auto" w:fill="auto"/>
            <w:vAlign w:val="center"/>
          </w:tcPr>
          <w:p w14:paraId="31A7F49E">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val="0"/>
                <w:i w:val="0"/>
                <w:iCs w:val="0"/>
                <w:snapToGrid w:val="0"/>
                <w:color w:val="000000"/>
                <w:kern w:val="0"/>
                <w:sz w:val="24"/>
                <w:szCs w:val="24"/>
                <w:u w:val="none"/>
                <w:lang w:val="en-US" w:eastAsia="zh-CN" w:bidi="ar"/>
              </w:rPr>
            </w:pPr>
            <w:r>
              <w:rPr>
                <w:rFonts w:hint="eastAsia" w:ascii="仿宋" w:hAnsi="仿宋" w:eastAsia="仿宋" w:cs="仿宋"/>
                <w:b w:val="0"/>
                <w:i w:val="0"/>
                <w:iCs w:val="0"/>
                <w:snapToGrid w:val="0"/>
                <w:color w:val="000000"/>
                <w:kern w:val="0"/>
                <w:sz w:val="24"/>
                <w:szCs w:val="24"/>
                <w:u w:val="none"/>
                <w:lang w:val="en-US" w:eastAsia="zh-CN" w:bidi="ar"/>
              </w:rPr>
              <w:t>机电工程学院</w:t>
            </w:r>
          </w:p>
        </w:tc>
        <w:tc>
          <w:tcPr>
            <w:tcW w:w="1299" w:type="pct"/>
            <w:tcBorders>
              <w:top w:val="nil"/>
              <w:left w:val="nil"/>
              <w:bottom w:val="single" w:color="auto" w:sz="4" w:space="0"/>
              <w:right w:val="nil"/>
            </w:tcBorders>
            <w:shd w:val="clear" w:color="auto" w:fill="auto"/>
            <w:vAlign w:val="center"/>
          </w:tcPr>
          <w:p w14:paraId="4DDD8B89">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b w:val="0"/>
                <w:bCs/>
                <w:color w:val="000000"/>
                <w:sz w:val="24"/>
                <w:szCs w:val="24"/>
                <w:shd w:val="clear" w:color="auto" w:fill="FFFFFF"/>
                <w:vertAlign w:val="baseline"/>
                <w:lang w:val="en-US" w:eastAsia="zh-CN"/>
              </w:rPr>
              <w:t>38</w:t>
            </w:r>
          </w:p>
        </w:tc>
        <w:tc>
          <w:tcPr>
            <w:tcW w:w="2586" w:type="dxa"/>
            <w:tcBorders>
              <w:top w:val="nil"/>
              <w:left w:val="nil"/>
              <w:bottom w:val="single" w:color="auto" w:sz="4" w:space="0"/>
              <w:right w:val="nil"/>
            </w:tcBorders>
            <w:shd w:val="clear" w:color="auto" w:fill="auto"/>
            <w:vAlign w:val="center"/>
          </w:tcPr>
          <w:p w14:paraId="6853B24C">
            <w:pPr>
              <w:keepNext w:val="0"/>
              <w:keepLines w:val="0"/>
              <w:widowControl/>
              <w:suppressLineNumbers w:val="0"/>
              <w:jc w:val="center"/>
              <w:textAlignment w:val="center"/>
              <w:rPr>
                <w:rFonts w:hint="default"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i w:val="0"/>
                <w:iCs w:val="0"/>
                <w:snapToGrid w:val="0"/>
                <w:color w:val="000000"/>
                <w:kern w:val="0"/>
                <w:sz w:val="24"/>
                <w:szCs w:val="24"/>
                <w:u w:val="none"/>
                <w:lang w:val="en-US" w:eastAsia="zh-CN" w:bidi="ar"/>
              </w:rPr>
              <w:t>3</w:t>
            </w:r>
          </w:p>
        </w:tc>
      </w:tr>
      <w:tr w14:paraId="3FE9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80" w:type="pct"/>
            <w:tcBorders>
              <w:top w:val="single" w:color="auto" w:sz="4" w:space="0"/>
              <w:left w:val="nil"/>
              <w:bottom w:val="single" w:color="000000" w:sz="12" w:space="0"/>
              <w:right w:val="nil"/>
            </w:tcBorders>
            <w:shd w:val="clear" w:color="auto" w:fill="auto"/>
            <w:vAlign w:val="center"/>
          </w:tcPr>
          <w:p w14:paraId="24421805">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val="0"/>
                <w:i w:val="0"/>
                <w:iCs w:val="0"/>
                <w:snapToGrid w:val="0"/>
                <w:color w:val="000000"/>
                <w:kern w:val="0"/>
                <w:sz w:val="24"/>
                <w:szCs w:val="24"/>
                <w:u w:val="none"/>
                <w:lang w:val="en-US" w:eastAsia="zh-CN" w:bidi="ar"/>
              </w:rPr>
            </w:pPr>
            <w:r>
              <w:rPr>
                <w:rFonts w:hint="eastAsia" w:ascii="仿宋" w:hAnsi="仿宋" w:eastAsia="仿宋" w:cs="仿宋"/>
                <w:b w:val="0"/>
                <w:i w:val="0"/>
                <w:iCs w:val="0"/>
                <w:snapToGrid w:val="0"/>
                <w:color w:val="000000"/>
                <w:kern w:val="0"/>
                <w:sz w:val="24"/>
                <w:szCs w:val="24"/>
                <w:u w:val="none"/>
                <w:lang w:val="en-US" w:eastAsia="zh-CN" w:bidi="ar"/>
              </w:rPr>
              <w:t>总计</w:t>
            </w:r>
          </w:p>
        </w:tc>
        <w:tc>
          <w:tcPr>
            <w:tcW w:w="1299" w:type="pct"/>
            <w:tcBorders>
              <w:top w:val="single" w:color="auto" w:sz="4" w:space="0"/>
              <w:left w:val="nil"/>
              <w:bottom w:val="single" w:color="000000" w:sz="12" w:space="0"/>
              <w:right w:val="nil"/>
            </w:tcBorders>
            <w:shd w:val="clear" w:color="auto" w:fill="auto"/>
            <w:vAlign w:val="center"/>
          </w:tcPr>
          <w:p w14:paraId="2E2848B2">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仿宋" w:hAnsi="仿宋" w:eastAsia="仿宋" w:cs="仿宋"/>
                <w:b w:val="0"/>
                <w:bCs/>
                <w:color w:val="000000"/>
                <w:sz w:val="24"/>
                <w:szCs w:val="24"/>
                <w:shd w:val="clear" w:color="auto" w:fill="FFFFFF"/>
                <w:vertAlign w:val="baseline"/>
                <w:lang w:val="en-US" w:eastAsia="zh-CN"/>
              </w:rPr>
            </w:pPr>
            <w:r>
              <w:rPr>
                <w:rFonts w:hint="default" w:ascii="仿宋" w:hAnsi="仿宋" w:eastAsia="仿宋" w:cs="仿宋"/>
                <w:b w:val="0"/>
                <w:bCs/>
                <w:color w:val="000000"/>
                <w:sz w:val="24"/>
                <w:szCs w:val="24"/>
                <w:shd w:val="clear" w:color="auto" w:fill="FFFFFF"/>
                <w:vertAlign w:val="baseline"/>
                <w:lang w:val="en-US" w:eastAsia="zh-CN"/>
              </w:rPr>
              <w:t>896</w:t>
            </w:r>
          </w:p>
        </w:tc>
        <w:tc>
          <w:tcPr>
            <w:tcW w:w="2586" w:type="dxa"/>
            <w:tcBorders>
              <w:top w:val="single" w:color="auto" w:sz="4" w:space="0"/>
              <w:left w:val="nil"/>
              <w:bottom w:val="single" w:color="000000" w:sz="12" w:space="0"/>
              <w:right w:val="nil"/>
            </w:tcBorders>
            <w:shd w:val="clear" w:color="auto" w:fill="auto"/>
            <w:vAlign w:val="center"/>
          </w:tcPr>
          <w:p w14:paraId="5B21E7B2">
            <w:pPr>
              <w:keepNext w:val="0"/>
              <w:keepLines w:val="0"/>
              <w:widowControl/>
              <w:suppressLineNumbers w:val="0"/>
              <w:jc w:val="center"/>
              <w:textAlignment w:val="center"/>
              <w:rPr>
                <w:rFonts w:hint="default" w:ascii="仿宋" w:hAnsi="仿宋" w:eastAsia="仿宋" w:cs="仿宋"/>
                <w:b w:val="0"/>
                <w:bCs/>
                <w:color w:val="000000"/>
                <w:sz w:val="24"/>
                <w:szCs w:val="24"/>
                <w:shd w:val="clear" w:color="auto" w:fill="FFFFFF"/>
                <w:vertAlign w:val="baseline"/>
                <w:lang w:val="en-US" w:eastAsia="zh-CN"/>
              </w:rPr>
            </w:pPr>
            <w:r>
              <w:rPr>
                <w:rFonts w:hint="eastAsia" w:ascii="仿宋" w:hAnsi="仿宋" w:eastAsia="仿宋" w:cs="仿宋"/>
                <w:i w:val="0"/>
                <w:iCs w:val="0"/>
                <w:snapToGrid w:val="0"/>
                <w:color w:val="000000"/>
                <w:kern w:val="0"/>
                <w:sz w:val="24"/>
                <w:szCs w:val="24"/>
                <w:u w:val="none"/>
                <w:lang w:val="en-US" w:eastAsia="zh-CN" w:bidi="ar"/>
              </w:rPr>
              <w:t>69</w:t>
            </w:r>
          </w:p>
        </w:tc>
      </w:tr>
    </w:tbl>
    <w:p w14:paraId="0971267C">
      <w:pPr>
        <w:keepNext w:val="0"/>
        <w:keepLines w:val="0"/>
        <w:pageBreakBefore w:val="0"/>
        <w:widowControl/>
        <w:kinsoku/>
        <w:wordWrap/>
        <w:overflowPunct/>
        <w:topLinePunct w:val="0"/>
        <w:autoSpaceDE/>
        <w:autoSpaceDN/>
        <w:bidi w:val="0"/>
        <w:adjustRightInd/>
        <w:snapToGrid/>
        <w:spacing w:line="440" w:lineRule="exact"/>
        <w:ind w:firstLine="480" w:firstLineChars="200"/>
        <w:textAlignment w:val="auto"/>
        <w:rPr>
          <w:rFonts w:hint="default" w:ascii="仿宋" w:hAnsi="仿宋" w:eastAsia="仿宋" w:cs="仿宋"/>
          <w:b w:val="0"/>
          <w:bCs/>
          <w:color w:val="000000"/>
          <w:sz w:val="24"/>
          <w:szCs w:val="24"/>
          <w:shd w:val="clear" w:color="auto" w:fill="FFFFFF"/>
          <w:lang w:val="en-US" w:eastAsia="zh-CN"/>
        </w:rPr>
      </w:pPr>
    </w:p>
    <w:p w14:paraId="2A5B408B"/>
    <w:sectPr>
      <w:pgSz w:w="11900" w:h="16830"/>
      <w:pgMar w:top="1440" w:right="1803" w:bottom="0" w:left="1803"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8023F0-5BAF-4959-BCED-368D2FF3E75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2" w:fontKey="{E0D2ABCD-EEAD-47DA-B9C9-9D07F2233B9F}"/>
  </w:font>
  <w:font w:name="仿宋">
    <w:panose1 w:val="02010609060101010101"/>
    <w:charset w:val="86"/>
    <w:family w:val="auto"/>
    <w:pitch w:val="default"/>
    <w:sig w:usb0="800002BF" w:usb1="38CF7CFA" w:usb2="00000016" w:usb3="00000000" w:csb0="00040001" w:csb1="00000000"/>
    <w:embedRegular r:id="rId3" w:fontKey="{FDE09F66-4CE2-4315-834F-56CBB0A616DF}"/>
  </w:font>
  <w:font w:name="方正小标宋_GBK">
    <w:panose1 w:val="02000000000000000000"/>
    <w:charset w:val="86"/>
    <w:family w:val="script"/>
    <w:pitch w:val="default"/>
    <w:sig w:usb0="A00002BF" w:usb1="38CF7CFA" w:usb2="00082016" w:usb3="00000000" w:csb0="00040001" w:csb1="00000000"/>
    <w:embedRegular r:id="rId4" w:fontKey="{4C26E676-AE21-421C-B5D6-A89F300DBA3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jMTkwMGY1MmNmYjVmZjQxNTQ2NzRjMWJiMDkzYWQifQ=="/>
  </w:docVars>
  <w:rsids>
    <w:rsidRoot w:val="00000000"/>
    <w:rsid w:val="005C381C"/>
    <w:rsid w:val="07350EB1"/>
    <w:rsid w:val="07B93E44"/>
    <w:rsid w:val="0C773FF3"/>
    <w:rsid w:val="0CB25302"/>
    <w:rsid w:val="227F4065"/>
    <w:rsid w:val="2BA32F62"/>
    <w:rsid w:val="325C78F8"/>
    <w:rsid w:val="35CD653F"/>
    <w:rsid w:val="3DD5088B"/>
    <w:rsid w:val="40F9465E"/>
    <w:rsid w:val="416A696B"/>
    <w:rsid w:val="41AE2885"/>
    <w:rsid w:val="45CB2915"/>
    <w:rsid w:val="53F5327C"/>
    <w:rsid w:val="72BE7C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445</Words>
  <Characters>483</Characters>
  <Lines>0</Lines>
  <Paragraphs>0</Paragraphs>
  <TotalTime>0</TotalTime>
  <ScaleCrop>false</ScaleCrop>
  <LinksUpToDate>false</LinksUpToDate>
  <CharactersWithSpaces>489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2024-09-29T08:36:00Z</dcterms:created>
  <dc:creator>102</dc:creator>
  <cp:lastModifiedBy>杨启晖</cp:lastModifiedBy>
  <dcterms:modified xsi:type="dcterms:W3CDTF">2026-09-21T01:27:23Z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2B46C1FF8E0946358B98E31ECA85DD94_12</vt:lpwstr>
  </property>
  <property fmtid="{D5CDD505-2E9C-101B-9397-08002B2CF9AE}" pid="4" name="KSOTemplateDocerSaveRecord">
    <vt:lpwstr>eyJoZGlkIjoiZWRjMTkwMGY1MmNmYjVmZjQxNTQ2NzRjMWJiMDkzYWQiLCJ1c2VySWQiOiIxNjU0MDY0NTkxIn0=</vt:lpwstr>
  </property>
</Properties>
</file>